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E3" w:rsidRDefault="000A4BE3" w:rsidP="000A4BE3">
      <w:pPr>
        <w:pStyle w:val="4"/>
        <w:jc w:val="left"/>
        <w:rPr>
          <w:szCs w:val="24"/>
        </w:rPr>
      </w:pPr>
      <w:bookmarkStart w:id="0" w:name="_GoBack"/>
      <w:bookmarkEnd w:id="0"/>
      <w:r w:rsidRPr="00E33518">
        <w:rPr>
          <w:rFonts w:hint="eastAsia"/>
          <w:szCs w:val="24"/>
        </w:rPr>
        <w:t>附件一</w:t>
      </w:r>
    </w:p>
    <w:p w:rsidR="000A4BE3" w:rsidRPr="006F4D8D" w:rsidRDefault="000A4BE3" w:rsidP="000A4BE3">
      <w:pPr>
        <w:jc w:val="center"/>
        <w:rPr>
          <w:b/>
          <w:sz w:val="32"/>
          <w:szCs w:val="32"/>
        </w:rPr>
      </w:pPr>
      <w:r w:rsidRPr="006F4D8D">
        <w:rPr>
          <w:rFonts w:hint="eastAsia"/>
          <w:b/>
          <w:sz w:val="32"/>
          <w:szCs w:val="32"/>
        </w:rPr>
        <w:t>审核评估任务分解及责任单位一览表</w:t>
      </w:r>
    </w:p>
    <w:tbl>
      <w:tblPr>
        <w:tblpPr w:leftFromText="180" w:rightFromText="180" w:vertAnchor="text" w:horzAnchor="margin" w:tblpXSpec="center" w:tblpY="20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5"/>
        <w:gridCol w:w="3796"/>
        <w:gridCol w:w="1384"/>
        <w:gridCol w:w="1908"/>
      </w:tblGrid>
      <w:tr w:rsidR="000A4BE3" w:rsidRPr="00FE34EF" w:rsidTr="006F34B2">
        <w:tc>
          <w:tcPr>
            <w:tcW w:w="988" w:type="dxa"/>
            <w:vAlign w:val="center"/>
          </w:tcPr>
          <w:p w:rsidR="000A4BE3" w:rsidRPr="00593000" w:rsidRDefault="000A4BE3" w:rsidP="006F34B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审核</w:t>
            </w:r>
          </w:p>
          <w:p w:rsidR="000A4BE3" w:rsidRPr="00593000" w:rsidRDefault="000A4BE3" w:rsidP="006F34B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审核要素</w:t>
            </w:r>
          </w:p>
        </w:tc>
        <w:tc>
          <w:tcPr>
            <w:tcW w:w="3796" w:type="dxa"/>
            <w:vAlign w:val="center"/>
          </w:tcPr>
          <w:p w:rsidR="000A4BE3" w:rsidRPr="00593000" w:rsidRDefault="000A4BE3" w:rsidP="006F34B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审核要点</w:t>
            </w:r>
          </w:p>
        </w:tc>
        <w:tc>
          <w:tcPr>
            <w:tcW w:w="1384" w:type="dxa"/>
            <w:vAlign w:val="center"/>
          </w:tcPr>
          <w:p w:rsidR="000A4BE3" w:rsidRPr="00593000" w:rsidRDefault="000A4BE3" w:rsidP="006F34B2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牵头负责部门及负责要点</w:t>
            </w:r>
          </w:p>
        </w:tc>
        <w:tc>
          <w:tcPr>
            <w:tcW w:w="1908" w:type="dxa"/>
            <w:vAlign w:val="center"/>
          </w:tcPr>
          <w:p w:rsidR="000A4BE3" w:rsidRPr="00593000" w:rsidRDefault="000A4BE3" w:rsidP="006F34B2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参与部门及负责要点</w:t>
            </w:r>
          </w:p>
        </w:tc>
      </w:tr>
      <w:tr w:rsidR="000A4BE3" w:rsidRPr="00FE34EF" w:rsidTr="006F34B2">
        <w:trPr>
          <w:trHeight w:val="613"/>
        </w:trPr>
        <w:tc>
          <w:tcPr>
            <w:tcW w:w="98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一、定位与目标</w:t>
            </w: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（一）办学定位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1.学校办学方向、办学定位及确定依据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2.办学定位在学校发展规划中的体现</w:t>
            </w:r>
          </w:p>
        </w:tc>
        <w:tc>
          <w:tcPr>
            <w:tcW w:w="1384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党委办公室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（1、2、3、5、6、7）</w:t>
            </w:r>
          </w:p>
        </w:tc>
        <w:tc>
          <w:tcPr>
            <w:tcW w:w="190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长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公室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（1、2、3、5、6、7）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发展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委员会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公室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教务部（4）</w:t>
            </w:r>
          </w:p>
        </w:tc>
      </w:tr>
      <w:tr w:rsidR="000A4BE3" w:rsidRPr="00FE34EF" w:rsidTr="006F34B2">
        <w:trPr>
          <w:trHeight w:val="680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（二）培养目标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3.学校人才</w:t>
            </w:r>
            <w:proofErr w:type="gramStart"/>
            <w:r w:rsidRPr="00593000">
              <w:rPr>
                <w:rFonts w:asciiTheme="minorEastAsia" w:eastAsiaTheme="minorEastAsia" w:hAnsiTheme="minorEastAsia" w:hint="eastAsia"/>
                <w:szCs w:val="21"/>
              </w:rPr>
              <w:t>培养总</w:t>
            </w:r>
            <w:proofErr w:type="gramEnd"/>
            <w:r w:rsidRPr="00593000">
              <w:rPr>
                <w:rFonts w:asciiTheme="minorEastAsia" w:eastAsiaTheme="minorEastAsia" w:hAnsiTheme="minorEastAsia" w:hint="eastAsia"/>
                <w:szCs w:val="21"/>
              </w:rPr>
              <w:t>目标及确定依据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4.专业培养目标、标准及确定依据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887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（三）人才培养中心地位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5.落实人才培养中心地位的政策措施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6.人才培养中心地位的体现与效果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7.学校领导对本科教学的重视情况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二、师资队伍</w:t>
            </w: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（四）数量与结构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8.教师队伍的数量与结构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9.教师队伍建设规划及发展态势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10.教学团队建设</w:t>
            </w:r>
          </w:p>
        </w:tc>
        <w:tc>
          <w:tcPr>
            <w:tcW w:w="1384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人事处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（8、9、10、11、15、16、17、18、19）</w:t>
            </w:r>
          </w:p>
        </w:tc>
        <w:tc>
          <w:tcPr>
            <w:tcW w:w="1908" w:type="dxa"/>
            <w:vMerge w:val="restart"/>
            <w:vAlign w:val="center"/>
          </w:tcPr>
          <w:p w:rsidR="000A4BE3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教务部（10、12、13、14）</w:t>
            </w:r>
          </w:p>
          <w:p w:rsidR="000A4BE3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人文社会科学院（12）</w:t>
            </w:r>
          </w:p>
          <w:p w:rsidR="000A4BE3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科学技术研究部（12）</w:t>
            </w:r>
          </w:p>
          <w:p w:rsidR="000A4BE3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国际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合作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交流处（15、16）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教务</w:t>
            </w:r>
            <w:proofErr w:type="gramStart"/>
            <w:r w:rsidRPr="00593000">
              <w:rPr>
                <w:rFonts w:asciiTheme="minorEastAsia" w:eastAsiaTheme="minorEastAsia" w:hAnsiTheme="minorEastAsia" w:hint="eastAsia"/>
                <w:szCs w:val="21"/>
              </w:rPr>
              <w:t>部教师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发展中心（15、16、17）</w:t>
            </w:r>
          </w:p>
        </w:tc>
      </w:tr>
      <w:tr w:rsidR="000A4BE3" w:rsidRPr="00FE34EF" w:rsidTr="006F34B2"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（五）教育教学水平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11.学校师德师风建设措施与效果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12.专任教师的专业水平与教学能力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（六）教师教学投入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13.教授、副教授为本科生上课情况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14.教师开展教学研究、参与教学改革与建设情况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1515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（七）教师发展与服务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15.提升教师教学能力和服务教师专业发展的政策措施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16.青年教师培养发展情况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17.教师对自身专业发展与学校为之服务的评价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（八）教师教学业绩成果考核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18.教师教学业绩成果考核办法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19.考核结果的运用（如教学工作在职称评审中的权重）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1475"/>
        </w:trPr>
        <w:tc>
          <w:tcPr>
            <w:tcW w:w="98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三、教学资源</w:t>
            </w: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（九）教学经费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20.教学经费投入及保障机制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21.学校教学经费年度变化情况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22.教学经费分配方式、比例及使用效益</w:t>
            </w:r>
          </w:p>
        </w:tc>
        <w:tc>
          <w:tcPr>
            <w:tcW w:w="1384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教务部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（23、24、25、26、27、28、29、30、31、32、33）</w:t>
            </w:r>
          </w:p>
        </w:tc>
        <w:tc>
          <w:tcPr>
            <w:tcW w:w="190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财务处（20、21、22）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后勤管理处（23、24、25）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图书馆（23、24、25）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信息化建设与管理中心（23、24、25）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人文社会科学院（23、24）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科学技术研究部（23、24）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国有资产与实验室管理处（23、24、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25、32、33）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发展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委员会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公室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（32、33、34）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国内合作办公室（32、33、34）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国际合作交流处（32、33）</w:t>
            </w:r>
          </w:p>
        </w:tc>
      </w:tr>
      <w:tr w:rsidR="000A4BE3" w:rsidRPr="00FE34EF" w:rsidTr="006F34B2">
        <w:trPr>
          <w:trHeight w:val="1549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（十）教学设施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23.教学设施满足教学需要情况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24.教学、科研设施的开放程度及利用情况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25.教学信息化条件及资源建设情况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1397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（十一）专业设置与培养方案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26.专业建设规划执行与专业结构优化调整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27.新专业设置与优势专业建设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28.培养方案的制定、执行与调整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1547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（十二）课程资源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29.课程建设规划与执行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30.课程的数量、结构及优质课程资源建设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31.教材建设与选用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（十三）社会资源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32.合作办学、合作育人的措施与效果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33.共建教学资源情况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34.社会捐赠情况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2326"/>
        </w:trPr>
        <w:tc>
          <w:tcPr>
            <w:tcW w:w="98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四、培养过程</w:t>
            </w: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（十四）课堂教学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35.课程教学大纲的制订与执行情况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36.教学内容对人才培养目标的体现，科研促进教学的情况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37.教学方法与学习方式的多样化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38.考试考核的方式方法与管理</w:t>
            </w:r>
          </w:p>
        </w:tc>
        <w:tc>
          <w:tcPr>
            <w:tcW w:w="1384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教务部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（35、36、37、38、39、40、41、44、45、46、47）</w:t>
            </w:r>
          </w:p>
        </w:tc>
        <w:tc>
          <w:tcPr>
            <w:tcW w:w="1908" w:type="dxa"/>
            <w:vMerge w:val="restart"/>
            <w:vAlign w:val="center"/>
          </w:tcPr>
          <w:p w:rsidR="000A4BE3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人文社会科学院（36、40）</w:t>
            </w:r>
          </w:p>
          <w:p w:rsidR="000A4BE3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科学技术研究部（36、40）</w:t>
            </w:r>
          </w:p>
          <w:p w:rsidR="000A4BE3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学生工作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（42、43、44）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校团委（42、43、44）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国际合作交流处（44）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艺术教育中心（42、43、44）</w:t>
            </w:r>
          </w:p>
        </w:tc>
      </w:tr>
      <w:tr w:rsidR="000A4BE3" w:rsidRPr="00FE34EF" w:rsidTr="006F34B2">
        <w:trPr>
          <w:trHeight w:val="1860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（十五）实践教学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39.实践教学体系建设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40.实验教学与实验室开放情况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41.实习实训、社会实践、毕业设计（论文）的落实及效果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2012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（十六）第二课堂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42.第二课堂育人体系建设与保障措施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43.社团建设与校园文化、科技活动及育人效果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44.学生国内外交流学习情况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1692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（十七）教学改革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45.教学改革的总体思路及政策措施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46.人才培养模式改革，人才培养体制、机制改革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47.教学改革的成效与应用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五、学生发展</w:t>
            </w: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（十八）招生及生源情况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48.学校总体生源状况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49.各专业生源数量及特征</w:t>
            </w:r>
          </w:p>
        </w:tc>
        <w:tc>
          <w:tcPr>
            <w:tcW w:w="1384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学生</w:t>
            </w:r>
            <w:r w:rsidRPr="00593000">
              <w:rPr>
                <w:rFonts w:asciiTheme="minorEastAsia" w:eastAsiaTheme="minorEastAsia" w:hAnsiTheme="minorEastAsia" w:hint="eastAsia"/>
                <w:b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作部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（50、51、52、53、54、55）</w:t>
            </w:r>
          </w:p>
        </w:tc>
        <w:tc>
          <w:tcPr>
            <w:tcW w:w="190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业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处（48、49、56、57、58）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学生创新创业教育中心（50、51、52、53、54、55</w:t>
            </w:r>
            <w:r w:rsidRPr="00593000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校团委（50、51、52、53、54、55、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57），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bookmarkStart w:id="1" w:name="OLE_LINK1"/>
            <w:r>
              <w:rPr>
                <w:rFonts w:asciiTheme="minorEastAsia" w:eastAsiaTheme="minorEastAsia" w:hAnsiTheme="minorEastAsia" w:hint="eastAsia"/>
                <w:szCs w:val="21"/>
              </w:rPr>
              <w:t>大学生</w:t>
            </w: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心理健康教育中心</w:t>
            </w:r>
            <w:bookmarkEnd w:id="1"/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（50、51、52）</w:t>
            </w:r>
          </w:p>
        </w:tc>
      </w:tr>
      <w:tr w:rsidR="000A4BE3" w:rsidRPr="00FE34EF" w:rsidTr="006F34B2">
        <w:trPr>
          <w:trHeight w:val="1415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（十九）学生指导与服务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50.学生指导与服务的内容及效果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51.学生指导与服务的组织与条件保障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52.学生对指导与服务的评价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rPr>
          <w:trHeight w:val="1547"/>
        </w:trPr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（二十）学风与学习效果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53.学风建设的措施与效果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54.学生学业成绩及综合素质表现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55.学生对自我学习与成长的满意度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（二十一）就业创业与发展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56.毕业生就业率与职业发展情况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57.毕业生创业情况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58.社会、用人单位对毕业生评价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六、质量保障</w:t>
            </w: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（二十二）教学质量保障体系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59.质量标准建设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60.学校质量保障模式及体系结构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61.质量保障体系的组织、制度建设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62.教学质量管理队伍建设</w:t>
            </w:r>
          </w:p>
        </w:tc>
        <w:tc>
          <w:tcPr>
            <w:tcW w:w="1384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教务部（59、60、61、62、63、64、65、66、67、68、69）</w:t>
            </w:r>
          </w:p>
        </w:tc>
        <w:tc>
          <w:tcPr>
            <w:tcW w:w="1908" w:type="dxa"/>
            <w:vMerge w:val="restart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招生就业处(60、61、66、67、68、69)</w:t>
            </w:r>
          </w:p>
        </w:tc>
      </w:tr>
      <w:tr w:rsidR="000A4BE3" w:rsidRPr="00FE34EF" w:rsidTr="006F34B2"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（二十三）质量监测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63.自我评估及质量监测的内容与方式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64.自我评估及质量监测的实施效果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（二十四）质量信息及利用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65.校内教学基本状态数据库建设情况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66.质量信息统计、分析、反馈机制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67.质量信息公开及年度质量报告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（二十五）质量改进</w:t>
            </w:r>
          </w:p>
        </w:tc>
        <w:tc>
          <w:tcPr>
            <w:tcW w:w="3796" w:type="dxa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68.质量改进的途径与方法</w:t>
            </w:r>
          </w:p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69、质量改进的效果与评价</w:t>
            </w:r>
          </w:p>
        </w:tc>
        <w:tc>
          <w:tcPr>
            <w:tcW w:w="1384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8" w:type="dxa"/>
            <w:vMerge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4BE3" w:rsidRPr="00FE34EF" w:rsidTr="006F34B2">
        <w:tc>
          <w:tcPr>
            <w:tcW w:w="988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七、自选特色</w:t>
            </w:r>
          </w:p>
        </w:tc>
        <w:tc>
          <w:tcPr>
            <w:tcW w:w="5071" w:type="dxa"/>
            <w:gridSpan w:val="2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70、学校自选特色项目</w:t>
            </w:r>
          </w:p>
        </w:tc>
        <w:tc>
          <w:tcPr>
            <w:tcW w:w="1384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校长办公室（70）</w:t>
            </w:r>
          </w:p>
        </w:tc>
        <w:tc>
          <w:tcPr>
            <w:tcW w:w="1908" w:type="dxa"/>
            <w:vAlign w:val="center"/>
          </w:tcPr>
          <w:p w:rsidR="000A4BE3" w:rsidRPr="00593000" w:rsidRDefault="000A4BE3" w:rsidP="006F34B2">
            <w:pPr>
              <w:rPr>
                <w:rFonts w:asciiTheme="minorEastAsia" w:eastAsiaTheme="minorEastAsia" w:hAnsiTheme="minorEastAsia"/>
                <w:szCs w:val="21"/>
              </w:rPr>
            </w:pPr>
            <w:r w:rsidRPr="00593000">
              <w:rPr>
                <w:rFonts w:asciiTheme="minorEastAsia" w:eastAsiaTheme="minorEastAsia" w:hAnsiTheme="minorEastAsia" w:hint="eastAsia"/>
                <w:szCs w:val="21"/>
              </w:rPr>
              <w:t>教务部</w:t>
            </w:r>
          </w:p>
        </w:tc>
      </w:tr>
    </w:tbl>
    <w:p w:rsidR="000A4BE3" w:rsidRDefault="000A4BE3" w:rsidP="000A4BE3"/>
    <w:p w:rsidR="007E15FE" w:rsidRDefault="007E15FE"/>
    <w:sectPr w:rsidR="007E1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E3"/>
    <w:rsid w:val="00002F06"/>
    <w:rsid w:val="00016BA2"/>
    <w:rsid w:val="00017A2F"/>
    <w:rsid w:val="000207B9"/>
    <w:rsid w:val="00020F73"/>
    <w:rsid w:val="00024C00"/>
    <w:rsid w:val="00030600"/>
    <w:rsid w:val="000354CF"/>
    <w:rsid w:val="00037FD5"/>
    <w:rsid w:val="0004337A"/>
    <w:rsid w:val="000437C8"/>
    <w:rsid w:val="0005075B"/>
    <w:rsid w:val="00057171"/>
    <w:rsid w:val="00061385"/>
    <w:rsid w:val="00063C47"/>
    <w:rsid w:val="00071465"/>
    <w:rsid w:val="00072D00"/>
    <w:rsid w:val="000744CA"/>
    <w:rsid w:val="000761F8"/>
    <w:rsid w:val="0008652F"/>
    <w:rsid w:val="00090FAB"/>
    <w:rsid w:val="00092BE9"/>
    <w:rsid w:val="00094274"/>
    <w:rsid w:val="00094289"/>
    <w:rsid w:val="000A0F46"/>
    <w:rsid w:val="000A4BE3"/>
    <w:rsid w:val="000A53F0"/>
    <w:rsid w:val="000B2923"/>
    <w:rsid w:val="000B7D74"/>
    <w:rsid w:val="000C0B42"/>
    <w:rsid w:val="000C239E"/>
    <w:rsid w:val="000D116D"/>
    <w:rsid w:val="000D7894"/>
    <w:rsid w:val="000F2B70"/>
    <w:rsid w:val="00102EA9"/>
    <w:rsid w:val="00103772"/>
    <w:rsid w:val="00103D4D"/>
    <w:rsid w:val="001045B5"/>
    <w:rsid w:val="00107221"/>
    <w:rsid w:val="00107C3C"/>
    <w:rsid w:val="00110BF5"/>
    <w:rsid w:val="00125BDA"/>
    <w:rsid w:val="001277BD"/>
    <w:rsid w:val="001313A4"/>
    <w:rsid w:val="001362AB"/>
    <w:rsid w:val="00137C8B"/>
    <w:rsid w:val="00140D86"/>
    <w:rsid w:val="00142023"/>
    <w:rsid w:val="001471D1"/>
    <w:rsid w:val="0014755D"/>
    <w:rsid w:val="00153070"/>
    <w:rsid w:val="00156492"/>
    <w:rsid w:val="0015711E"/>
    <w:rsid w:val="001600F9"/>
    <w:rsid w:val="00160740"/>
    <w:rsid w:val="001743FF"/>
    <w:rsid w:val="00174B13"/>
    <w:rsid w:val="001842BD"/>
    <w:rsid w:val="001863C0"/>
    <w:rsid w:val="00186C04"/>
    <w:rsid w:val="0019279C"/>
    <w:rsid w:val="001965BD"/>
    <w:rsid w:val="00196D21"/>
    <w:rsid w:val="00196EA7"/>
    <w:rsid w:val="001A03B8"/>
    <w:rsid w:val="001A1CF6"/>
    <w:rsid w:val="001A217B"/>
    <w:rsid w:val="001B2161"/>
    <w:rsid w:val="001B5330"/>
    <w:rsid w:val="001B67AC"/>
    <w:rsid w:val="001C11C1"/>
    <w:rsid w:val="001C772F"/>
    <w:rsid w:val="001D5E9F"/>
    <w:rsid w:val="001D6473"/>
    <w:rsid w:val="001E0CD1"/>
    <w:rsid w:val="001E62A2"/>
    <w:rsid w:val="001F0311"/>
    <w:rsid w:val="001F1764"/>
    <w:rsid w:val="001F20BF"/>
    <w:rsid w:val="001F50F0"/>
    <w:rsid w:val="00213AE1"/>
    <w:rsid w:val="002142FC"/>
    <w:rsid w:val="002162A1"/>
    <w:rsid w:val="00216BE3"/>
    <w:rsid w:val="0021774C"/>
    <w:rsid w:val="00226C80"/>
    <w:rsid w:val="0022739B"/>
    <w:rsid w:val="00236465"/>
    <w:rsid w:val="00237FBD"/>
    <w:rsid w:val="00240729"/>
    <w:rsid w:val="00240D46"/>
    <w:rsid w:val="00242B39"/>
    <w:rsid w:val="0024311E"/>
    <w:rsid w:val="00250DD2"/>
    <w:rsid w:val="002558F3"/>
    <w:rsid w:val="00262520"/>
    <w:rsid w:val="00265FB8"/>
    <w:rsid w:val="002738C1"/>
    <w:rsid w:val="00290BD4"/>
    <w:rsid w:val="00297F2A"/>
    <w:rsid w:val="002A0A43"/>
    <w:rsid w:val="002A2A28"/>
    <w:rsid w:val="002A456F"/>
    <w:rsid w:val="002A7D60"/>
    <w:rsid w:val="002B1A02"/>
    <w:rsid w:val="002C0B64"/>
    <w:rsid w:val="002C0F3F"/>
    <w:rsid w:val="002C1FD1"/>
    <w:rsid w:val="002D55AB"/>
    <w:rsid w:val="002D5F90"/>
    <w:rsid w:val="002D678F"/>
    <w:rsid w:val="002D7384"/>
    <w:rsid w:val="002E077B"/>
    <w:rsid w:val="002E6DDD"/>
    <w:rsid w:val="002E6F50"/>
    <w:rsid w:val="002F4DD3"/>
    <w:rsid w:val="002F662C"/>
    <w:rsid w:val="002F7DA3"/>
    <w:rsid w:val="00303602"/>
    <w:rsid w:val="00305053"/>
    <w:rsid w:val="00311EBE"/>
    <w:rsid w:val="00314099"/>
    <w:rsid w:val="00315C32"/>
    <w:rsid w:val="00317500"/>
    <w:rsid w:val="003209F1"/>
    <w:rsid w:val="003240E5"/>
    <w:rsid w:val="0033020B"/>
    <w:rsid w:val="00340E18"/>
    <w:rsid w:val="00341AB3"/>
    <w:rsid w:val="003502FC"/>
    <w:rsid w:val="00353024"/>
    <w:rsid w:val="00353E33"/>
    <w:rsid w:val="00355516"/>
    <w:rsid w:val="003560F0"/>
    <w:rsid w:val="003578D6"/>
    <w:rsid w:val="00365E91"/>
    <w:rsid w:val="00371357"/>
    <w:rsid w:val="003832BD"/>
    <w:rsid w:val="00384D45"/>
    <w:rsid w:val="00390D91"/>
    <w:rsid w:val="00391CC5"/>
    <w:rsid w:val="00397639"/>
    <w:rsid w:val="00397906"/>
    <w:rsid w:val="003A085F"/>
    <w:rsid w:val="003A3726"/>
    <w:rsid w:val="003B17D3"/>
    <w:rsid w:val="003B1A6D"/>
    <w:rsid w:val="003B26AF"/>
    <w:rsid w:val="003B7794"/>
    <w:rsid w:val="003B7B78"/>
    <w:rsid w:val="003C0687"/>
    <w:rsid w:val="003C1113"/>
    <w:rsid w:val="003C3328"/>
    <w:rsid w:val="003C4CE9"/>
    <w:rsid w:val="003C578E"/>
    <w:rsid w:val="003D35D2"/>
    <w:rsid w:val="003D64C9"/>
    <w:rsid w:val="003D7C5F"/>
    <w:rsid w:val="003E05C4"/>
    <w:rsid w:val="003E3D21"/>
    <w:rsid w:val="003E42E1"/>
    <w:rsid w:val="003E54F8"/>
    <w:rsid w:val="003F4BB9"/>
    <w:rsid w:val="00404A72"/>
    <w:rsid w:val="0041203F"/>
    <w:rsid w:val="00412939"/>
    <w:rsid w:val="0041718D"/>
    <w:rsid w:val="00420F1D"/>
    <w:rsid w:val="00453E0B"/>
    <w:rsid w:val="004550F4"/>
    <w:rsid w:val="00457891"/>
    <w:rsid w:val="0045797C"/>
    <w:rsid w:val="00460980"/>
    <w:rsid w:val="0046131A"/>
    <w:rsid w:val="0046648F"/>
    <w:rsid w:val="00466EB0"/>
    <w:rsid w:val="00471873"/>
    <w:rsid w:val="00471F47"/>
    <w:rsid w:val="00477AB5"/>
    <w:rsid w:val="004A02EF"/>
    <w:rsid w:val="004A09CA"/>
    <w:rsid w:val="004A2A46"/>
    <w:rsid w:val="004A3BB7"/>
    <w:rsid w:val="004A483B"/>
    <w:rsid w:val="004B2890"/>
    <w:rsid w:val="004B3915"/>
    <w:rsid w:val="004B7A78"/>
    <w:rsid w:val="004C09DD"/>
    <w:rsid w:val="004C12C3"/>
    <w:rsid w:val="004F1714"/>
    <w:rsid w:val="004F35F8"/>
    <w:rsid w:val="004F4625"/>
    <w:rsid w:val="004F5B40"/>
    <w:rsid w:val="004F75E1"/>
    <w:rsid w:val="0050146D"/>
    <w:rsid w:val="005065E0"/>
    <w:rsid w:val="005079DC"/>
    <w:rsid w:val="00510A4F"/>
    <w:rsid w:val="00515EE5"/>
    <w:rsid w:val="00525430"/>
    <w:rsid w:val="00525A62"/>
    <w:rsid w:val="0052641D"/>
    <w:rsid w:val="00530BFC"/>
    <w:rsid w:val="00530DCD"/>
    <w:rsid w:val="005454F4"/>
    <w:rsid w:val="00553F1D"/>
    <w:rsid w:val="00554866"/>
    <w:rsid w:val="005608F9"/>
    <w:rsid w:val="0056224F"/>
    <w:rsid w:val="0057020B"/>
    <w:rsid w:val="00580835"/>
    <w:rsid w:val="00580E10"/>
    <w:rsid w:val="0058241C"/>
    <w:rsid w:val="00587119"/>
    <w:rsid w:val="005918F7"/>
    <w:rsid w:val="00594EFC"/>
    <w:rsid w:val="005A0528"/>
    <w:rsid w:val="005A434A"/>
    <w:rsid w:val="005A5A28"/>
    <w:rsid w:val="005B2862"/>
    <w:rsid w:val="005B3786"/>
    <w:rsid w:val="005B4DBF"/>
    <w:rsid w:val="005C0F28"/>
    <w:rsid w:val="005C4DDC"/>
    <w:rsid w:val="005C567D"/>
    <w:rsid w:val="005C7B81"/>
    <w:rsid w:val="005C7D2A"/>
    <w:rsid w:val="005D1F7D"/>
    <w:rsid w:val="005D2B10"/>
    <w:rsid w:val="005D75B8"/>
    <w:rsid w:val="005F247D"/>
    <w:rsid w:val="00604C30"/>
    <w:rsid w:val="00605E62"/>
    <w:rsid w:val="006134C0"/>
    <w:rsid w:val="00621394"/>
    <w:rsid w:val="006255CE"/>
    <w:rsid w:val="00634DC3"/>
    <w:rsid w:val="00643A18"/>
    <w:rsid w:val="00644A30"/>
    <w:rsid w:val="00647C10"/>
    <w:rsid w:val="00651CA6"/>
    <w:rsid w:val="006622CB"/>
    <w:rsid w:val="006629EC"/>
    <w:rsid w:val="00672C09"/>
    <w:rsid w:val="0068046B"/>
    <w:rsid w:val="006816AB"/>
    <w:rsid w:val="00683025"/>
    <w:rsid w:val="00685600"/>
    <w:rsid w:val="0068675A"/>
    <w:rsid w:val="00686905"/>
    <w:rsid w:val="00696FE9"/>
    <w:rsid w:val="006A1006"/>
    <w:rsid w:val="006A11F0"/>
    <w:rsid w:val="006A1C0D"/>
    <w:rsid w:val="006A4CF4"/>
    <w:rsid w:val="006B00C7"/>
    <w:rsid w:val="006C69BF"/>
    <w:rsid w:val="006D1AFD"/>
    <w:rsid w:val="006D6791"/>
    <w:rsid w:val="006D7077"/>
    <w:rsid w:val="006D78CE"/>
    <w:rsid w:val="006E0A7E"/>
    <w:rsid w:val="006E0DC7"/>
    <w:rsid w:val="006E334F"/>
    <w:rsid w:val="006E4814"/>
    <w:rsid w:val="006E5051"/>
    <w:rsid w:val="006E7E22"/>
    <w:rsid w:val="006F07C2"/>
    <w:rsid w:val="006F23C0"/>
    <w:rsid w:val="006F4364"/>
    <w:rsid w:val="00700055"/>
    <w:rsid w:val="00701B58"/>
    <w:rsid w:val="00705826"/>
    <w:rsid w:val="007079E9"/>
    <w:rsid w:val="0071359E"/>
    <w:rsid w:val="007136C5"/>
    <w:rsid w:val="007144CA"/>
    <w:rsid w:val="00727405"/>
    <w:rsid w:val="00732604"/>
    <w:rsid w:val="00734291"/>
    <w:rsid w:val="00740236"/>
    <w:rsid w:val="00745ED0"/>
    <w:rsid w:val="007463E5"/>
    <w:rsid w:val="00746B74"/>
    <w:rsid w:val="00746D92"/>
    <w:rsid w:val="0075178B"/>
    <w:rsid w:val="00761F83"/>
    <w:rsid w:val="0077252E"/>
    <w:rsid w:val="00775371"/>
    <w:rsid w:val="00780915"/>
    <w:rsid w:val="00781F84"/>
    <w:rsid w:val="00784DDE"/>
    <w:rsid w:val="007916EF"/>
    <w:rsid w:val="007A1283"/>
    <w:rsid w:val="007A1827"/>
    <w:rsid w:val="007A7B53"/>
    <w:rsid w:val="007B0A6E"/>
    <w:rsid w:val="007B383D"/>
    <w:rsid w:val="007D31C0"/>
    <w:rsid w:val="007D6D6E"/>
    <w:rsid w:val="007D797C"/>
    <w:rsid w:val="007E0B0C"/>
    <w:rsid w:val="007E15FE"/>
    <w:rsid w:val="007E77E0"/>
    <w:rsid w:val="007F0507"/>
    <w:rsid w:val="00812C9C"/>
    <w:rsid w:val="00815E91"/>
    <w:rsid w:val="00816E4F"/>
    <w:rsid w:val="008246A2"/>
    <w:rsid w:val="00827509"/>
    <w:rsid w:val="008275F3"/>
    <w:rsid w:val="00832F54"/>
    <w:rsid w:val="00834E8A"/>
    <w:rsid w:val="00837FC5"/>
    <w:rsid w:val="00856FE9"/>
    <w:rsid w:val="00863186"/>
    <w:rsid w:val="00863D34"/>
    <w:rsid w:val="00873739"/>
    <w:rsid w:val="00875D30"/>
    <w:rsid w:val="00875D81"/>
    <w:rsid w:val="00877099"/>
    <w:rsid w:val="00877E14"/>
    <w:rsid w:val="00882EE2"/>
    <w:rsid w:val="0088706F"/>
    <w:rsid w:val="00887CC2"/>
    <w:rsid w:val="008C169E"/>
    <w:rsid w:val="008C3296"/>
    <w:rsid w:val="008C4370"/>
    <w:rsid w:val="008C70DC"/>
    <w:rsid w:val="008D0943"/>
    <w:rsid w:val="008D5445"/>
    <w:rsid w:val="008E5686"/>
    <w:rsid w:val="008E7A38"/>
    <w:rsid w:val="008E7C97"/>
    <w:rsid w:val="008F227F"/>
    <w:rsid w:val="0090517B"/>
    <w:rsid w:val="009108F0"/>
    <w:rsid w:val="00917C54"/>
    <w:rsid w:val="009241AD"/>
    <w:rsid w:val="00924C10"/>
    <w:rsid w:val="0093131E"/>
    <w:rsid w:val="00933857"/>
    <w:rsid w:val="00933CA9"/>
    <w:rsid w:val="00934FF2"/>
    <w:rsid w:val="00941696"/>
    <w:rsid w:val="009573F1"/>
    <w:rsid w:val="00957D8E"/>
    <w:rsid w:val="0097216B"/>
    <w:rsid w:val="00981AEB"/>
    <w:rsid w:val="009836A4"/>
    <w:rsid w:val="00992A38"/>
    <w:rsid w:val="009A39A3"/>
    <w:rsid w:val="009A6192"/>
    <w:rsid w:val="009A7C79"/>
    <w:rsid w:val="009B0E5B"/>
    <w:rsid w:val="009B29C5"/>
    <w:rsid w:val="009B6A7D"/>
    <w:rsid w:val="009D2020"/>
    <w:rsid w:val="009D4AFE"/>
    <w:rsid w:val="009D54E7"/>
    <w:rsid w:val="009D7C5E"/>
    <w:rsid w:val="009E127F"/>
    <w:rsid w:val="009E44F9"/>
    <w:rsid w:val="009E6F55"/>
    <w:rsid w:val="009E779A"/>
    <w:rsid w:val="009F7301"/>
    <w:rsid w:val="00A05D4B"/>
    <w:rsid w:val="00A11FDA"/>
    <w:rsid w:val="00A15240"/>
    <w:rsid w:val="00A22BF9"/>
    <w:rsid w:val="00A27BEB"/>
    <w:rsid w:val="00A37088"/>
    <w:rsid w:val="00A46C19"/>
    <w:rsid w:val="00A72474"/>
    <w:rsid w:val="00A8658B"/>
    <w:rsid w:val="00A91816"/>
    <w:rsid w:val="00A93896"/>
    <w:rsid w:val="00AA192C"/>
    <w:rsid w:val="00AA1C19"/>
    <w:rsid w:val="00AA2FB8"/>
    <w:rsid w:val="00AA5C4C"/>
    <w:rsid w:val="00AA677F"/>
    <w:rsid w:val="00AB21BC"/>
    <w:rsid w:val="00AB4A95"/>
    <w:rsid w:val="00AB61BE"/>
    <w:rsid w:val="00AC0576"/>
    <w:rsid w:val="00AC2864"/>
    <w:rsid w:val="00AC2BC0"/>
    <w:rsid w:val="00AC36B5"/>
    <w:rsid w:val="00AC7145"/>
    <w:rsid w:val="00AD0CD2"/>
    <w:rsid w:val="00AD39D3"/>
    <w:rsid w:val="00AD5447"/>
    <w:rsid w:val="00AD75C7"/>
    <w:rsid w:val="00B07E1B"/>
    <w:rsid w:val="00B1020F"/>
    <w:rsid w:val="00B13A1A"/>
    <w:rsid w:val="00B209EF"/>
    <w:rsid w:val="00B228F2"/>
    <w:rsid w:val="00B23E4E"/>
    <w:rsid w:val="00B25EC4"/>
    <w:rsid w:val="00B323D3"/>
    <w:rsid w:val="00B427EF"/>
    <w:rsid w:val="00B42E31"/>
    <w:rsid w:val="00B52066"/>
    <w:rsid w:val="00B5395A"/>
    <w:rsid w:val="00B67E77"/>
    <w:rsid w:val="00B70247"/>
    <w:rsid w:val="00B72D44"/>
    <w:rsid w:val="00B75A37"/>
    <w:rsid w:val="00B762A3"/>
    <w:rsid w:val="00B83320"/>
    <w:rsid w:val="00B87537"/>
    <w:rsid w:val="00B948B4"/>
    <w:rsid w:val="00B97A01"/>
    <w:rsid w:val="00BA15FE"/>
    <w:rsid w:val="00BA6A77"/>
    <w:rsid w:val="00BA75F4"/>
    <w:rsid w:val="00BA77CF"/>
    <w:rsid w:val="00BC6B83"/>
    <w:rsid w:val="00BE1477"/>
    <w:rsid w:val="00BE2E0E"/>
    <w:rsid w:val="00BF62EA"/>
    <w:rsid w:val="00C11AA1"/>
    <w:rsid w:val="00C20F1D"/>
    <w:rsid w:val="00C246B4"/>
    <w:rsid w:val="00C33097"/>
    <w:rsid w:val="00C34291"/>
    <w:rsid w:val="00C43892"/>
    <w:rsid w:val="00C4547B"/>
    <w:rsid w:val="00C45779"/>
    <w:rsid w:val="00C46C60"/>
    <w:rsid w:val="00C51407"/>
    <w:rsid w:val="00C521A8"/>
    <w:rsid w:val="00C611BA"/>
    <w:rsid w:val="00C618C9"/>
    <w:rsid w:val="00C65850"/>
    <w:rsid w:val="00C743EA"/>
    <w:rsid w:val="00C746B9"/>
    <w:rsid w:val="00C76573"/>
    <w:rsid w:val="00C76863"/>
    <w:rsid w:val="00C86660"/>
    <w:rsid w:val="00C916AD"/>
    <w:rsid w:val="00CB263E"/>
    <w:rsid w:val="00CB334B"/>
    <w:rsid w:val="00CB3D09"/>
    <w:rsid w:val="00CB7581"/>
    <w:rsid w:val="00CC6015"/>
    <w:rsid w:val="00CC6548"/>
    <w:rsid w:val="00CD0E76"/>
    <w:rsid w:val="00CE7ACB"/>
    <w:rsid w:val="00CF28FC"/>
    <w:rsid w:val="00D0439E"/>
    <w:rsid w:val="00D05D80"/>
    <w:rsid w:val="00D06E2C"/>
    <w:rsid w:val="00D15011"/>
    <w:rsid w:val="00D1797B"/>
    <w:rsid w:val="00D206EB"/>
    <w:rsid w:val="00D22237"/>
    <w:rsid w:val="00D2701D"/>
    <w:rsid w:val="00D31F69"/>
    <w:rsid w:val="00D4775B"/>
    <w:rsid w:val="00D47B1D"/>
    <w:rsid w:val="00D50C20"/>
    <w:rsid w:val="00D5567D"/>
    <w:rsid w:val="00D56B22"/>
    <w:rsid w:val="00D677A5"/>
    <w:rsid w:val="00D70A3D"/>
    <w:rsid w:val="00D73668"/>
    <w:rsid w:val="00D73C51"/>
    <w:rsid w:val="00D73CF2"/>
    <w:rsid w:val="00D806ED"/>
    <w:rsid w:val="00D84AD1"/>
    <w:rsid w:val="00D916EC"/>
    <w:rsid w:val="00D92C1E"/>
    <w:rsid w:val="00D92D80"/>
    <w:rsid w:val="00D95A11"/>
    <w:rsid w:val="00DA0757"/>
    <w:rsid w:val="00DB35B1"/>
    <w:rsid w:val="00DB5971"/>
    <w:rsid w:val="00DC6205"/>
    <w:rsid w:val="00DD4ED6"/>
    <w:rsid w:val="00DF1C73"/>
    <w:rsid w:val="00DF7FE4"/>
    <w:rsid w:val="00E00546"/>
    <w:rsid w:val="00E018A7"/>
    <w:rsid w:val="00E01BC6"/>
    <w:rsid w:val="00E12D5C"/>
    <w:rsid w:val="00E20160"/>
    <w:rsid w:val="00E260BC"/>
    <w:rsid w:val="00E26510"/>
    <w:rsid w:val="00E466FA"/>
    <w:rsid w:val="00E60143"/>
    <w:rsid w:val="00E66ECA"/>
    <w:rsid w:val="00E722CB"/>
    <w:rsid w:val="00E7267C"/>
    <w:rsid w:val="00E72AAF"/>
    <w:rsid w:val="00E74B7E"/>
    <w:rsid w:val="00EA497A"/>
    <w:rsid w:val="00EA5DF5"/>
    <w:rsid w:val="00EA7275"/>
    <w:rsid w:val="00EA7A3B"/>
    <w:rsid w:val="00EC58D7"/>
    <w:rsid w:val="00EE02E4"/>
    <w:rsid w:val="00EE0793"/>
    <w:rsid w:val="00EE4449"/>
    <w:rsid w:val="00EE4C74"/>
    <w:rsid w:val="00EF3D6E"/>
    <w:rsid w:val="00EF4DE3"/>
    <w:rsid w:val="00EF673B"/>
    <w:rsid w:val="00F03664"/>
    <w:rsid w:val="00F045E4"/>
    <w:rsid w:val="00F100B5"/>
    <w:rsid w:val="00F10463"/>
    <w:rsid w:val="00F116FB"/>
    <w:rsid w:val="00F12F2D"/>
    <w:rsid w:val="00F2111F"/>
    <w:rsid w:val="00F4184F"/>
    <w:rsid w:val="00F43175"/>
    <w:rsid w:val="00F55AD2"/>
    <w:rsid w:val="00F80031"/>
    <w:rsid w:val="00F85BAD"/>
    <w:rsid w:val="00F873D5"/>
    <w:rsid w:val="00F87ECC"/>
    <w:rsid w:val="00F92A77"/>
    <w:rsid w:val="00F934FB"/>
    <w:rsid w:val="00F936D3"/>
    <w:rsid w:val="00FA07F3"/>
    <w:rsid w:val="00FA1C82"/>
    <w:rsid w:val="00FA40A9"/>
    <w:rsid w:val="00FB33CB"/>
    <w:rsid w:val="00FB7A07"/>
    <w:rsid w:val="00FB7B74"/>
    <w:rsid w:val="00FB7C60"/>
    <w:rsid w:val="00FC0CE9"/>
    <w:rsid w:val="00FC4288"/>
    <w:rsid w:val="00FC6EED"/>
    <w:rsid w:val="00FC7E7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C6546"/>
  <w15:chartTrackingRefBased/>
  <w15:docId w15:val="{72C154D3-536E-453C-9187-E5027759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E3"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A4BE3"/>
    <w:pPr>
      <w:keepNext/>
      <w:keepLines/>
      <w:spacing w:line="360" w:lineRule="auto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0A4BE3"/>
    <w:rPr>
      <w:rFonts w:asciiTheme="majorHAnsi" w:eastAsiaTheme="majorEastAsia" w:hAnsiTheme="majorHAnsi" w:cstheme="majorBidi"/>
      <w:b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杨柳</cp:lastModifiedBy>
  <cp:revision>1</cp:revision>
  <dcterms:created xsi:type="dcterms:W3CDTF">2017-03-06T08:12:00Z</dcterms:created>
  <dcterms:modified xsi:type="dcterms:W3CDTF">2017-03-06T08:13:00Z</dcterms:modified>
</cp:coreProperties>
</file>